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债权申报情况说明</w:t>
      </w:r>
      <w:r>
        <w:rPr>
          <w:rFonts w:hint="eastAsia" w:ascii="宋体" w:hAnsi="宋体"/>
          <w:bCs/>
          <w:sz w:val="36"/>
          <w:szCs w:val="36"/>
        </w:rPr>
        <w:t>（样本）</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债权形成的事实及证据：</w:t>
      </w:r>
    </w:p>
    <w:p>
      <w:pPr>
        <w:spacing w:line="600" w:lineRule="exact"/>
        <w:ind w:firstLine="708" w:firstLineChars="236"/>
        <w:rPr>
          <w:rFonts w:ascii="仿宋" w:hAnsi="仿宋" w:eastAsia="仿宋"/>
          <w:sz w:val="30"/>
          <w:szCs w:val="30"/>
        </w:rPr>
      </w:pPr>
      <w:r>
        <w:rPr>
          <w:rFonts w:ascii="仿宋" w:hAnsi="仿宋" w:eastAsia="仿宋"/>
          <w:sz w:val="30"/>
          <w:szCs w:val="30"/>
        </w:rPr>
        <w:t>……</w:t>
      </w:r>
    </w:p>
    <w:p>
      <w:pPr>
        <w:pStyle w:val="2"/>
        <w:ind w:firstLine="600" w:firstLineChars="200"/>
      </w:pPr>
      <w:r>
        <w:rPr>
          <w:rFonts w:hint="eastAsia"/>
        </w:rPr>
        <w:t>此致</w:t>
      </w:r>
    </w:p>
    <w:p>
      <w:pPr>
        <w:spacing w:line="500" w:lineRule="exact"/>
        <w:jc w:val="left"/>
        <w:outlineLvl w:val="0"/>
        <w:rPr>
          <w:rFonts w:ascii="仿宋" w:hAnsi="仿宋" w:eastAsia="仿宋"/>
          <w:sz w:val="30"/>
          <w:szCs w:val="30"/>
        </w:rPr>
      </w:pPr>
      <w:r>
        <w:rPr>
          <w:rFonts w:hint="eastAsia" w:ascii="仿宋" w:hAnsi="仿宋" w:eastAsia="仿宋"/>
          <w:bCs/>
          <w:sz w:val="30"/>
          <w:szCs w:val="30"/>
        </w:rPr>
        <w:t>凤阳县长发矿业有限公司</w:t>
      </w:r>
      <w:r>
        <w:rPr>
          <w:rFonts w:hint="eastAsia" w:ascii="仿宋" w:hAnsi="仿宋" w:eastAsia="仿宋"/>
          <w:sz w:val="30"/>
          <w:szCs w:val="30"/>
        </w:rPr>
        <w:t>管理人</w:t>
      </w:r>
    </w:p>
    <w:p/>
    <w:p>
      <w:pPr>
        <w:pStyle w:val="3"/>
        <w:ind w:left="4410"/>
      </w:pPr>
    </w:p>
    <w:p>
      <w:pPr>
        <w:pStyle w:val="3"/>
        <w:ind w:left="4410"/>
      </w:pPr>
      <w:r>
        <w:rPr>
          <w:rFonts w:hint="eastAsia"/>
        </w:rPr>
        <w:t>申报人：</w:t>
      </w:r>
    </w:p>
    <w:p>
      <w:pPr>
        <w:pStyle w:val="3"/>
        <w:ind w:left="4410"/>
      </w:pPr>
      <w:r>
        <w:t>202</w:t>
      </w:r>
      <w:r>
        <w:rPr>
          <w:rFonts w:hint="eastAsia"/>
          <w:lang w:val="en-US" w:eastAsia="zh-CN"/>
        </w:rPr>
        <w:t>2</w:t>
      </w:r>
      <w:r>
        <w:t>年  月   日</w:t>
      </w:r>
    </w:p>
    <w:p/>
    <w:p>
      <w:pPr>
        <w:spacing w:line="600" w:lineRule="exact"/>
        <w:rPr>
          <w:rFonts w:ascii="黑体" w:hAnsi="黑体" w:eastAsia="黑体"/>
          <w:b/>
          <w:sz w:val="30"/>
          <w:szCs w:val="30"/>
        </w:rPr>
      </w:pPr>
    </w:p>
    <w:p>
      <w:pPr>
        <w:spacing w:line="600" w:lineRule="exact"/>
        <w:rPr>
          <w:rFonts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“债权总额”包括债权的本金、利息、违约金、赔偿金、诉讼费或保全费等；</w:t>
      </w:r>
      <w:r>
        <w:rPr>
          <w:rFonts w:hint="eastAsia" w:ascii="仿宋" w:hAnsi="仿宋" w:eastAsia="仿宋"/>
          <w:sz w:val="30"/>
          <w:szCs w:val="30"/>
          <w:lang w:eastAsia="zh-CN"/>
        </w:rPr>
        <w:t>因凤阳县长发矿业有限公司与安徽蓝翔节能玻璃有限公司系合并破产，为了公平受偿债权，</w:t>
      </w:r>
      <w:bookmarkStart w:id="12" w:name="_GoBack"/>
      <w:bookmarkEnd w:id="12"/>
      <w:r>
        <w:rPr>
          <w:rFonts w:hint="eastAsia" w:ascii="仿宋" w:hAnsi="仿宋" w:eastAsia="仿宋"/>
          <w:sz w:val="30"/>
          <w:szCs w:val="30"/>
        </w:rPr>
        <w:t>未到期债权视为已到期，利息、违约金等计算至</w:t>
      </w:r>
      <w:r>
        <w:rPr>
          <w:rFonts w:hint="eastAsia" w:ascii="仿宋" w:hAnsi="仿宋" w:eastAsia="仿宋"/>
          <w:sz w:val="30"/>
          <w:szCs w:val="30"/>
          <w:lang w:eastAsia="zh-CN"/>
        </w:rPr>
        <w:t>安徽蓝翔节能玻璃有限公司</w:t>
      </w:r>
      <w:r>
        <w:rPr>
          <w:rFonts w:hint="eastAsia" w:ascii="仿宋" w:hAnsi="仿宋" w:eastAsia="仿宋"/>
          <w:sz w:val="30"/>
          <w:szCs w:val="30"/>
        </w:rPr>
        <w:t>破产</w:t>
      </w:r>
      <w:r>
        <w:rPr>
          <w:rFonts w:hint="eastAsia" w:ascii="仿宋" w:hAnsi="仿宋" w:eastAsia="仿宋"/>
          <w:sz w:val="30"/>
          <w:szCs w:val="30"/>
          <w:lang w:eastAsia="zh-CN"/>
        </w:rPr>
        <w:t>清算</w:t>
      </w:r>
      <w:r>
        <w:rPr>
          <w:rFonts w:hint="eastAsia" w:ascii="仿宋" w:hAnsi="仿宋" w:eastAsia="仿宋"/>
          <w:sz w:val="30"/>
          <w:szCs w:val="30"/>
        </w:rPr>
        <w:t>受理日（2</w:t>
      </w:r>
      <w:r>
        <w:rPr>
          <w:rFonts w:ascii="仿宋" w:hAnsi="仿宋" w:eastAsia="仿宋"/>
          <w:sz w:val="30"/>
          <w:szCs w:val="30"/>
        </w:rPr>
        <w:t>0</w:t>
      </w:r>
      <w:r>
        <w:rPr>
          <w:rFonts w:hint="eastAsia" w:ascii="仿宋" w:hAnsi="仿宋" w:eastAsia="仿宋"/>
          <w:sz w:val="30"/>
          <w:szCs w:val="30"/>
          <w:lang w:val="en-US" w:eastAsia="zh-CN"/>
        </w:rPr>
        <w:t>18</w:t>
      </w:r>
      <w:r>
        <w:rPr>
          <w:rFonts w:hint="eastAsia" w:ascii="仿宋" w:hAnsi="仿宋" w:eastAsia="仿宋"/>
          <w:sz w:val="30"/>
          <w:szCs w:val="30"/>
        </w:rPr>
        <w:t>年</w:t>
      </w: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29</w:t>
      </w:r>
      <w:r>
        <w:rPr>
          <w:rFonts w:hint="eastAsia" w:ascii="仿宋" w:hAnsi="仿宋" w:eastAsia="仿宋"/>
          <w:sz w:val="30"/>
          <w:szCs w:val="30"/>
        </w:rPr>
        <w:t>日），同时附上利息、违约金计算方法及计算过程的书面说明。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、“担保情况”包括有无保证人、连带责任人，有无特定财产抵押、质押、定金、留置等情况。</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债权如涉及诉讼、仲裁、调解、保全、执行，则需提交司法部门或仲裁机构出具就诉讼、仲裁、调解、保全、执行的有关法律文书（包括但不限于已经开始尚未终结的民事诉讼或仲裁案件或已经判决正在执行的案件）。</w:t>
      </w:r>
    </w:p>
    <w:p>
      <w:pPr>
        <w:spacing w:line="52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w:t>
      </w:r>
      <w:r>
        <w:rPr>
          <w:rFonts w:hint="eastAsia" w:ascii="黑体" w:hAnsi="黑体" w:eastAsia="黑体"/>
          <w:b/>
          <w:bCs/>
          <w:sz w:val="30"/>
          <w:szCs w:val="30"/>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sectPr>
      <w:head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 w:hAnsi="楷体" w:eastAsia="楷体"/>
        <w:b/>
        <w:sz w:val="21"/>
        <w:szCs w:val="21"/>
      </w:rPr>
    </w:pPr>
    <w:bookmarkStart w:id="0" w:name="_Hlk521773281"/>
    <w:bookmarkStart w:id="1" w:name="_Hlk521773279"/>
    <w:bookmarkStart w:id="2" w:name="_Hlk521773342"/>
    <w:bookmarkStart w:id="3" w:name="_Hlk521773312"/>
    <w:bookmarkStart w:id="4" w:name="_Hlk521773280"/>
    <w:bookmarkStart w:id="5" w:name="_Hlk521773343"/>
    <w:bookmarkStart w:id="6" w:name="_Hlk521773309"/>
    <w:bookmarkStart w:id="7" w:name="_Hlk521773341"/>
    <w:bookmarkStart w:id="8" w:name="_Hlk521773310"/>
    <w:bookmarkStart w:id="9" w:name="_Hlk521773311"/>
    <w:bookmarkStart w:id="10" w:name="_Hlk521773344"/>
    <w:bookmarkStart w:id="11" w:name="_Hlk521773282"/>
    <w:r>
      <w:rPr>
        <w:rFonts w:hint="eastAsia" w:ascii="楷体" w:hAnsi="楷体" w:eastAsia="楷体"/>
        <w:b/>
        <w:sz w:val="21"/>
        <w:szCs w:val="21"/>
      </w:rPr>
      <w:t>凤阳县长发矿业有限公司债权申报文书之</w:t>
    </w:r>
    <w:bookmarkEnd w:id="0"/>
    <w:bookmarkEnd w:id="1"/>
    <w:bookmarkEnd w:id="2"/>
    <w:bookmarkEnd w:id="3"/>
    <w:bookmarkEnd w:id="4"/>
    <w:bookmarkEnd w:id="5"/>
    <w:bookmarkEnd w:id="6"/>
    <w:bookmarkEnd w:id="7"/>
    <w:bookmarkEnd w:id="8"/>
    <w:bookmarkEnd w:id="9"/>
    <w:bookmarkEnd w:id="10"/>
    <w:bookmarkEnd w:id="11"/>
    <w:r>
      <w:rPr>
        <w:rFonts w:hint="eastAsia" w:ascii="楷体" w:hAnsi="楷体" w:eastAsia="楷体"/>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9"/>
    <w:rsid w:val="000D765E"/>
    <w:rsid w:val="001E1668"/>
    <w:rsid w:val="002F53F0"/>
    <w:rsid w:val="00475E96"/>
    <w:rsid w:val="00510072"/>
    <w:rsid w:val="00661CD4"/>
    <w:rsid w:val="00742029"/>
    <w:rsid w:val="00891C71"/>
    <w:rsid w:val="00981D49"/>
    <w:rsid w:val="00A72B17"/>
    <w:rsid w:val="00AC6F5A"/>
    <w:rsid w:val="00B54686"/>
    <w:rsid w:val="00D120B5"/>
    <w:rsid w:val="00D57502"/>
    <w:rsid w:val="00DE00CA"/>
    <w:rsid w:val="00E60F29"/>
    <w:rsid w:val="00EA2A2D"/>
    <w:rsid w:val="00FB0988"/>
    <w:rsid w:val="34361EE0"/>
    <w:rsid w:val="5C002556"/>
    <w:rsid w:val="68742777"/>
    <w:rsid w:val="7EEA1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
    <w:unhideWhenUsed/>
    <w:qFormat/>
    <w:uiPriority w:val="99"/>
    <w:rPr>
      <w:rFonts w:ascii="仿宋" w:hAnsi="仿宋" w:eastAsia="仿宋"/>
      <w:sz w:val="30"/>
      <w:szCs w:val="30"/>
    </w:rPr>
  </w:style>
  <w:style w:type="paragraph" w:styleId="3">
    <w:name w:val="Closing"/>
    <w:basedOn w:val="1"/>
    <w:link w:val="9"/>
    <w:unhideWhenUsed/>
    <w:qFormat/>
    <w:uiPriority w:val="99"/>
    <w:pPr>
      <w:ind w:left="100" w:leftChars="2100"/>
    </w:pPr>
    <w:rPr>
      <w:rFonts w:ascii="仿宋" w:hAnsi="仿宋" w:eastAsia="仿宋"/>
      <w:sz w:val="30"/>
      <w:szCs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字符"/>
    <w:basedOn w:val="7"/>
    <w:link w:val="2"/>
    <w:qFormat/>
    <w:uiPriority w:val="99"/>
    <w:rPr>
      <w:rFonts w:ascii="仿宋" w:hAnsi="仿宋" w:eastAsia="仿宋" w:cs="Times New Roman"/>
      <w:sz w:val="30"/>
      <w:szCs w:val="30"/>
    </w:rPr>
  </w:style>
  <w:style w:type="character" w:customStyle="1" w:styleId="9">
    <w:name w:val="结束语 字符"/>
    <w:basedOn w:val="7"/>
    <w:link w:val="3"/>
    <w:qFormat/>
    <w:uiPriority w:val="99"/>
    <w:rPr>
      <w:rFonts w:ascii="仿宋" w:hAnsi="仿宋" w:eastAsia="仿宋" w:cs="Times New Roman"/>
      <w:sz w:val="30"/>
      <w:szCs w:val="30"/>
    </w:rPr>
  </w:style>
  <w:style w:type="character" w:customStyle="1" w:styleId="10">
    <w:name w:val="页眉 字符"/>
    <w:basedOn w:val="7"/>
    <w:link w:val="5"/>
    <w:qFormat/>
    <w:uiPriority w:val="0"/>
    <w:rPr>
      <w:rFonts w:ascii="Calibri" w:hAnsi="Calibri" w:eastAsia="宋体" w:cs="Times New Roman"/>
      <w:sz w:val="18"/>
      <w:szCs w:val="18"/>
    </w:rPr>
  </w:style>
  <w:style w:type="character" w:customStyle="1" w:styleId="11">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654</Words>
  <Characters>664</Characters>
  <Lines>5</Lines>
  <Paragraphs>1</Paragraphs>
  <TotalTime>1</TotalTime>
  <ScaleCrop>false</ScaleCrop>
  <LinksUpToDate>false</LinksUpToDate>
  <CharactersWithSpaces>765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2018-10-03T08:11:00Z</dcterms:created>
  <dc:creator>尤 良旺</dc:creator>
  <cp:lastModifiedBy>尤律师</cp:lastModifiedBy>
  <dcterms:modified xsi:type="dcterms:W3CDTF">2022-04-05T10:08:51Z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A90A0FDC108B45CBA39F530AC0109F4D</vt:lpwstr>
  </property>
</Properties>
</file>